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6B6" w:rsidRPr="008C04F0" w:rsidRDefault="00C32758">
      <w:pPr>
        <w:widowControl/>
        <w:spacing w:after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1v1yuxt" w:colFirst="0" w:colLast="0"/>
      <w:bookmarkEnd w:id="0"/>
      <w:r w:rsidRPr="008C04F0">
        <w:rPr>
          <w:rFonts w:ascii="Times New Roman" w:eastAsia="Times New Roman" w:hAnsi="Times New Roman" w:cs="Times New Roman"/>
          <w:b/>
          <w:sz w:val="24"/>
          <w:szCs w:val="24"/>
        </w:rPr>
        <w:t xml:space="preserve">EDITAL DE SELEÇÃO PRPGP/UFSM N.  </w:t>
      </w:r>
      <w:r w:rsidRPr="008C04F0">
        <w:rPr>
          <w:rFonts w:ascii="Times New Roman" w:eastAsia="Times New Roman" w:hAnsi="Times New Roman" w:cs="Times New Roman"/>
          <w:b/>
          <w:sz w:val="24"/>
          <w:szCs w:val="24"/>
        </w:rPr>
        <w:t>020</w:t>
      </w:r>
      <w:r w:rsidRPr="008C04F0">
        <w:rPr>
          <w:rFonts w:ascii="Times New Roman" w:eastAsia="Times New Roman" w:hAnsi="Times New Roman" w:cs="Times New Roman"/>
          <w:b/>
          <w:sz w:val="24"/>
          <w:szCs w:val="24"/>
        </w:rPr>
        <w:t xml:space="preserve">/2024, DE </w:t>
      </w:r>
      <w:r w:rsidRPr="008C04F0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8C04F0">
        <w:rPr>
          <w:rFonts w:ascii="Times New Roman" w:eastAsia="Times New Roman" w:hAnsi="Times New Roman" w:cs="Times New Roman"/>
          <w:b/>
          <w:sz w:val="24"/>
          <w:szCs w:val="24"/>
        </w:rPr>
        <w:t xml:space="preserve"> DE SETEMBRO DE 2024</w:t>
      </w:r>
    </w:p>
    <w:p w:rsidR="001946B6" w:rsidRDefault="001946B6">
      <w:pPr>
        <w:widowControl/>
        <w:spacing w:after="5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946B6" w:rsidRDefault="00C32758">
      <w:pPr>
        <w:widowControl/>
        <w:spacing w:after="57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Exame Nacional de Acesso ao Mestrado Profissional em Ensino de Geografia em Rede Nacional – ENA PROFGEO 2024</w:t>
      </w:r>
    </w:p>
    <w:p w:rsidR="001946B6" w:rsidRDefault="00C32758">
      <w:pPr>
        <w:tabs>
          <w:tab w:val="left" w:pos="624"/>
        </w:tabs>
        <w:spacing w:before="240" w:after="240"/>
        <w:ind w:firstLine="4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Comissão Acadêmica Nacional do Mestrado Profissional em Ensino de Geografia em Rede Nacional, PROFGEO, no exercício das suas atribuições, definidas pelo artigo n.º 7 do Regimento Geral do PROFGEO, torna pública a realização do Exame Nacional de Acesso - </w:t>
      </w:r>
      <w:r>
        <w:rPr>
          <w:rFonts w:ascii="Times New Roman" w:eastAsia="Times New Roman" w:hAnsi="Times New Roman" w:cs="Times New Roman"/>
          <w:sz w:val="24"/>
          <w:szCs w:val="24"/>
        </w:rPr>
        <w:t>ENAPROFGEO 2024. O processo seletivo será regido por este Edital e executado pela Coordenadoria de Pós-Graduação, da Pró-Reitoria de Pós-Graduação, PRPGP, da Universidade Federal de Santa Maria, UFSM. São ofertadas 182 vagas, distribuídas entre as institui</w:t>
      </w:r>
      <w:r>
        <w:rPr>
          <w:rFonts w:ascii="Times New Roman" w:eastAsia="Times New Roman" w:hAnsi="Times New Roman" w:cs="Times New Roman"/>
          <w:sz w:val="24"/>
          <w:szCs w:val="24"/>
        </w:rPr>
        <w:t>ções associadas (Anexo A).</w:t>
      </w:r>
      <w:bookmarkStart w:id="1" w:name="_GoBack"/>
      <w:bookmarkEnd w:id="1"/>
    </w:p>
    <w:p w:rsidR="001946B6" w:rsidRDefault="00C32758">
      <w:pPr>
        <w:tabs>
          <w:tab w:val="left" w:pos="624"/>
        </w:tabs>
        <w:spacing w:before="240" w:after="240"/>
        <w:ind w:firstLine="4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processo seletivo é composto deste Edital Geral e dos Editais Específicos de cada Instituição Associada, que estão em anexo a este edital. </w:t>
      </w:r>
    </w:p>
    <w:p w:rsidR="001946B6" w:rsidRDefault="001946B6">
      <w:pPr>
        <w:tabs>
          <w:tab w:val="left" w:pos="624"/>
        </w:tabs>
        <w:spacing w:before="240" w:after="240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</w:p>
    <w:p w:rsidR="001946B6" w:rsidRDefault="00C32758">
      <w:pPr>
        <w:tabs>
          <w:tab w:val="left" w:pos="624"/>
        </w:tabs>
        <w:spacing w:before="240" w:after="240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SUMÁRIO</w:t>
      </w:r>
    </w:p>
    <w:sdt>
      <w:sdtPr>
        <w:id w:val="2017346976"/>
        <w:docPartObj>
          <w:docPartGallery w:val="Table of Contents"/>
          <w:docPartUnique/>
        </w:docPartObj>
      </w:sdtPr>
      <w:sdtEndPr/>
      <w:sdtContent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2,2,Heading 3,3,Heading 4,4,Heading 5</w:instrText>
          </w:r>
          <w:r>
            <w:instrText>,5,Heading 6,6,"</w:instrText>
          </w:r>
          <w:r>
            <w:fldChar w:fldCharType="separate"/>
          </w:r>
          <w:hyperlink w:anchor="_heading=h.gjdgxs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CRONOGRAMA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hyperlink>
          <w:r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0j0zll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MESTRADO PROFISSIONAL EM ENSINO DE GEOGRAFIA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</w:hyperlink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fob9t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REQUISITOS PARA PARTICIPAR DA SELEÇÃO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et92p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CONCORRÊNCIA ÀS VAGAS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tyjcwt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INSCRIÇÃO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dy6vkm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SOLICITAÇÃO DE ISENÇÃO DA TAXA DE PAGAMENTO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t3h5s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LISTA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PESSOAS INSCRITAS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7dp8vu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CONSTITUIÇÃO DO PROCESSO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</w:hyperlink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6in1rg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REALIZAÇÃO DA PROVA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</w:hyperlink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00"/>
            <w:ind w:right="-4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44sinio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CLASSIFICAÇÃO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6</w:t>
            </w:r>
          </w:hyperlink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z337y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RESULTADOS E RECURSOS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</w:t>
            </w:r>
          </w:hyperlink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y810tw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CONFIRMAÇÃO DE VAGA E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ATRÍCULA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4i7ojhp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CONCESSÃO DE BOLSAS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xcytpi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DISPOSIÇÕES FINAIS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ci93x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ANEXO A - DISTRIBUIÇÃO DAS VAGAS POR INSTITUIÇÃO ASSOCIADA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</w:hyperlink>
        </w:p>
        <w:p w:rsidR="001946B6" w:rsidRDefault="00C327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196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whwml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ANEXO B - CONTEÚDOS PROGRAMÁTICOS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1946B6" w:rsidRDefault="00C32758">
          <w:pPr>
            <w:tabs>
              <w:tab w:val="right" w:pos="10205"/>
            </w:tabs>
            <w:spacing w:before="200" w:after="80"/>
            <w:rPr>
              <w:rFonts w:ascii="Times New Roman" w:eastAsia="Times New Roman" w:hAnsi="Times New Roman" w:cs="Times New Roman"/>
              <w:color w:val="202124"/>
              <w:sz w:val="24"/>
              <w:szCs w:val="24"/>
            </w:rPr>
          </w:pPr>
          <w:r>
            <w:fldChar w:fldCharType="end"/>
          </w:r>
        </w:p>
      </w:sdtContent>
    </w:sdt>
    <w:p w:rsidR="001946B6" w:rsidRDefault="001946B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6B6" w:rsidRDefault="001946B6">
      <w:pPr>
        <w:tabs>
          <w:tab w:val="left" w:pos="624"/>
        </w:tabs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6B6" w:rsidRDefault="001946B6">
      <w:pPr>
        <w:tabs>
          <w:tab w:val="left" w:pos="624"/>
        </w:tabs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6B6" w:rsidRDefault="001946B6">
      <w:pPr>
        <w:tabs>
          <w:tab w:val="left" w:pos="624"/>
        </w:tabs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6B6" w:rsidRDefault="001946B6">
      <w:pPr>
        <w:tabs>
          <w:tab w:val="left" w:pos="624"/>
        </w:tabs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6B6" w:rsidRDefault="00C32758">
      <w:pPr>
        <w:pStyle w:val="Ttulo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CRONOGRAMA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As solicitações fora dos prazos e horários estabelecidos neste Edital não serão atendidas.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horários constantes deste Edital se referem à hora oficial de Brasília, DF.</w:t>
      </w:r>
    </w:p>
    <w:tbl>
      <w:tblPr>
        <w:tblStyle w:val="ad"/>
        <w:tblW w:w="10196" w:type="dxa"/>
        <w:tblInd w:w="-11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399"/>
        <w:gridCol w:w="3399"/>
      </w:tblGrid>
      <w:tr w:rsidR="001946B6">
        <w:tc>
          <w:tcPr>
            <w:tcW w:w="3398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ETAPA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</w:t>
            </w:r>
          </w:p>
        </w:tc>
      </w:tr>
      <w:tr w:rsidR="001946B6">
        <w:tc>
          <w:tcPr>
            <w:tcW w:w="3398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Inscrição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03/09 a 18/10/24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Página informada pela Instituição Associada</w:t>
            </w:r>
          </w:p>
        </w:tc>
      </w:tr>
      <w:tr w:rsidR="001946B6">
        <w:tc>
          <w:tcPr>
            <w:tcW w:w="3398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Solicitação de isenção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 a 29/09/24</w:t>
            </w:r>
          </w:p>
        </w:tc>
        <w:tc>
          <w:tcPr>
            <w:tcW w:w="3399" w:type="dxa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Página informada pela Instituição Associada</w:t>
            </w:r>
          </w:p>
        </w:tc>
      </w:tr>
      <w:tr w:rsidR="001946B6">
        <w:tc>
          <w:tcPr>
            <w:tcW w:w="3398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Resultado dos pedidos de isenção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07/10//24</w:t>
            </w:r>
          </w:p>
        </w:tc>
        <w:tc>
          <w:tcPr>
            <w:tcW w:w="3399" w:type="dxa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Página informada pela Instituição Associada</w:t>
            </w:r>
          </w:p>
        </w:tc>
      </w:tr>
      <w:tr w:rsidR="001946B6">
        <w:tc>
          <w:tcPr>
            <w:tcW w:w="3398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Prazo para pagamento da taxa de inscrição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18/10/24</w:t>
            </w:r>
          </w:p>
        </w:tc>
        <w:tc>
          <w:tcPr>
            <w:tcW w:w="3399" w:type="dxa"/>
            <w:vAlign w:val="center"/>
          </w:tcPr>
          <w:p w:rsidR="001946B6" w:rsidRDefault="0019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6B6">
        <w:tc>
          <w:tcPr>
            <w:tcW w:w="3398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Lista prévia de pessoas inscritas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28/10/2024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Página informada pela Instituição Associada</w:t>
            </w:r>
          </w:p>
        </w:tc>
      </w:tr>
      <w:tr w:rsidR="001946B6">
        <w:tc>
          <w:tcPr>
            <w:tcW w:w="3398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Recurso inscrições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a 30/10/24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 informado pela Instituição Associada</w:t>
            </w:r>
          </w:p>
        </w:tc>
      </w:tr>
      <w:tr w:rsidR="001946B6">
        <w:tc>
          <w:tcPr>
            <w:tcW w:w="3398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Lista final de pessoas inscritas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04/11/24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Página informada pela Instituição Associada</w:t>
            </w:r>
          </w:p>
        </w:tc>
      </w:tr>
      <w:tr w:rsidR="001946B6">
        <w:tc>
          <w:tcPr>
            <w:tcW w:w="3398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APLICAÇÃO DA PROVA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24/11/24, das 14h às 18h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 definido pela Instituição Associada</w:t>
            </w:r>
          </w:p>
        </w:tc>
      </w:tr>
      <w:tr w:rsidR="001946B6">
        <w:tc>
          <w:tcPr>
            <w:tcW w:w="3398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Divulgação prévia do ga</w:t>
            </w:r>
            <w:r>
              <w:rPr>
                <w:rFonts w:ascii="Times New Roman" w:eastAsia="Times New Roman" w:hAnsi="Times New Roman" w:cs="Times New Roman"/>
              </w:rPr>
              <w:t>barito da prova objetiva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25/11/24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www.ufsm.br/profgeo</w:t>
            </w:r>
          </w:p>
        </w:tc>
      </w:tr>
      <w:tr w:rsidR="001946B6">
        <w:tc>
          <w:tcPr>
            <w:tcW w:w="3398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Solicitação de recurso ao gabarito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a 27/11/24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profgeo@ufsm.br</w:t>
            </w:r>
          </w:p>
        </w:tc>
      </w:tr>
      <w:tr w:rsidR="001946B6">
        <w:tc>
          <w:tcPr>
            <w:tcW w:w="3398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Divulgação final do gabarito da prova objetiva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29/11/24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www.ufsm.br/profgeo</w:t>
            </w:r>
          </w:p>
        </w:tc>
      </w:tr>
      <w:tr w:rsidR="001946B6">
        <w:tc>
          <w:tcPr>
            <w:tcW w:w="3398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Resultado preliminar e a lista de pessoas inscritas com as respectivas notas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Até 13/12/24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Página informada pela Instituição Associada</w:t>
            </w:r>
          </w:p>
        </w:tc>
      </w:tr>
      <w:tr w:rsidR="001946B6">
        <w:tc>
          <w:tcPr>
            <w:tcW w:w="3398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Solicitação de recurso às notas das provas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a 17/12/24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 informado pela Instituição Associada</w:t>
            </w:r>
          </w:p>
        </w:tc>
      </w:tr>
      <w:tr w:rsidR="001946B6">
        <w:tc>
          <w:tcPr>
            <w:tcW w:w="3398" w:type="dxa"/>
            <w:vAlign w:val="center"/>
          </w:tcPr>
          <w:p w:rsidR="001946B6" w:rsidRDefault="00C32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Resultado final e l</w:t>
            </w:r>
            <w:r>
              <w:rPr>
                <w:rFonts w:ascii="Times New Roman" w:eastAsia="Times New Roman" w:hAnsi="Times New Roman" w:cs="Times New Roman"/>
              </w:rPr>
              <w:t>ista de pessoas inscritas com as respectivas notas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20/12/2024</w:t>
            </w:r>
          </w:p>
        </w:tc>
        <w:tc>
          <w:tcPr>
            <w:tcW w:w="3399" w:type="dxa"/>
            <w:vAlign w:val="center"/>
          </w:tcPr>
          <w:p w:rsidR="001946B6" w:rsidRDefault="00C32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Página informada pela Instituição Associada</w:t>
            </w:r>
          </w:p>
        </w:tc>
      </w:tr>
    </w:tbl>
    <w:p w:rsidR="001946B6" w:rsidRDefault="00C32758">
      <w:pPr>
        <w:pStyle w:val="Ttulo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MESTRADO PROFISSIONAL EM ENSINO DE GEOGRAFIA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Mestrado Profissional em Ensino de Geografia em Rede Nacional, PROFGEO, é um programa de pós-graduação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stricto sensu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Geografia, reconhecido e avaliado pela CAPES, credenciado pelo Conselho Nacional de Educação, CNE, e validado pelo Ministério da Educa</w:t>
      </w:r>
      <w:r>
        <w:rPr>
          <w:rFonts w:ascii="Times New Roman" w:eastAsia="Times New Roman" w:hAnsi="Times New Roman" w:cs="Times New Roman"/>
          <w:sz w:val="24"/>
          <w:szCs w:val="24"/>
        </w:rPr>
        <w:t>ção.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PROFGEO tem como objetivo proporcionar formação geográfica consistente, atualizada e relevante ao exercício da docência na Educação Básica, visando dar ao egresso a qualificação para o exercício profissional de professor de Geografia, outorgando-lhe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título de Mestre em Ensino de Geografia.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Instituições de Ensino Superior que integram a Rede Nacional do PROFGEO são denominadas Instituições Associadas e são responsáveis pela execução do curso.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aulas poderão ser ministradas de segunda-feira a sá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bado, de forma presencial, remota ou à distância, conforme determinação da Comissão Acadêmica Institucional de cada uma das unidades que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integram a Rede Nacional.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ENAPROFGEO 2024 oferecerá 182 (cento e oitenta e duas) vagas distribuídas de acordo com o q</w:t>
      </w:r>
      <w:r>
        <w:rPr>
          <w:rFonts w:ascii="Times New Roman" w:eastAsia="Times New Roman" w:hAnsi="Times New Roman" w:cs="Times New Roman"/>
          <w:sz w:val="24"/>
          <w:szCs w:val="24"/>
        </w:rPr>
        <w:t>uadro de vagas (Anexo A).</w:t>
      </w:r>
    </w:p>
    <w:p w:rsidR="001946B6" w:rsidRDefault="00C32758">
      <w:pPr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distribuição das vagas (Anexo A) segue a regulamentação de cada Instituição Associada.</w:t>
      </w:r>
    </w:p>
    <w:p w:rsidR="001946B6" w:rsidRDefault="00C32758">
      <w:pPr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total de vagas conta com financiamento do Programa de Mestrado Profissional para Qualificação de Professores da Rede Pública da Educação Bá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sica, PROEB, da CAPES, que tem por objetivo conceder apoio à formação continuada em nível de pós-graduação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stricto sensu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professores da rede pública de educação básica.</w:t>
      </w:r>
    </w:p>
    <w:p w:rsidR="001946B6" w:rsidRDefault="001946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pStyle w:val="Ttulo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1fob9te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REQUISITOS PARA PARTICIPAR DA SELEÇÃO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Poderão participar do Exame Nacional de Acesso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às pessoas que atendam aos seguintes pré-requisitos: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ser portador(a) de diploma de curso superior de licenciatura em Geografia, devidamente registrado no Ministério da Educação;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3znysh7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b) atuar como professor ou professora regente de classe nas redes públicas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Educação Básica;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Não havendo candidatos aptos, de acordo com o item b, as vagas remanescentes em cada Instituição Associada poderão ser atribuídas aos demais candidatos aprovados e atuantes como professores de Geografia da rede de educação básica, e</w:t>
      </w:r>
      <w:r>
        <w:rPr>
          <w:rFonts w:ascii="Times New Roman" w:eastAsia="Times New Roman" w:hAnsi="Times New Roman" w:cs="Times New Roman"/>
          <w:sz w:val="24"/>
          <w:szCs w:val="24"/>
        </w:rPr>
        <w:t>m um quantitativo não superior a 30% daquele constituído pelos professores da rede pública selecionados no certame em tela.</w:t>
      </w:r>
    </w:p>
    <w:p w:rsidR="001946B6" w:rsidRDefault="001946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pStyle w:val="Ttulo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2et92p0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CONCORRÊNCIA ÀS VAGAS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São ofertadas 182 vagas para ingresso no PROFGEO em março de 2025. Os quantitativos de vagas para ingresso em cada uma das Instituições Associadas e respectivos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campi </w:t>
      </w:r>
      <w:r>
        <w:rPr>
          <w:rFonts w:ascii="Times New Roman" w:eastAsia="Times New Roman" w:hAnsi="Times New Roman" w:cs="Times New Roman"/>
          <w:sz w:val="24"/>
          <w:szCs w:val="24"/>
        </w:rPr>
        <w:t>(cidades) de atendimento, estão relacionados no ANEXO A.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São destinadas vagas dos cursos </w:t>
      </w:r>
      <w:r>
        <w:rPr>
          <w:rFonts w:ascii="Times New Roman" w:eastAsia="Times New Roman" w:hAnsi="Times New Roman" w:cs="Times New Roman"/>
          <w:sz w:val="24"/>
          <w:szCs w:val="24"/>
        </w:rPr>
        <w:t>previstos neste Edital ao Sistema de Cotas, de acordo com a distribuição apresentada no edital específico de cada Instituição Associada.</w:t>
      </w:r>
    </w:p>
    <w:p w:rsidR="001946B6" w:rsidRDefault="00C32758">
      <w:pPr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Antes de optar por uma modalidade de cota, a pessoa interessada deve verificar se está de acordo com as exigências desc</w:t>
      </w:r>
      <w:r>
        <w:rPr>
          <w:rFonts w:ascii="Times New Roman" w:eastAsia="Times New Roman" w:hAnsi="Times New Roman" w:cs="Times New Roman"/>
          <w:sz w:val="24"/>
          <w:szCs w:val="24"/>
        </w:rPr>
        <w:t>ritas neste Edital, no edital específico da Instituição Associada e na legislação vigente.</w:t>
      </w:r>
    </w:p>
    <w:p w:rsidR="001946B6" w:rsidRDefault="00C32758">
      <w:pPr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Cabe à Instituição Associada disponibilizar e informar ao candidato que assim o requerer a existência de leis ou normas específicas, que disponham sobre o sistema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cotas para ingresso nos cursos de pós-graduação, dando-lhe ciência de todo o seu conteúdo e regras.</w:t>
      </w:r>
    </w:p>
    <w:p w:rsidR="001946B6" w:rsidRDefault="00C32758">
      <w:pPr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análise da viabilidade do deferimento da solicitação de atendimento especial e da solicitação de enquadramento no sistema de cotas é da competência e res</w:t>
      </w:r>
      <w:r>
        <w:rPr>
          <w:rFonts w:ascii="Times New Roman" w:eastAsia="Times New Roman" w:hAnsi="Times New Roman" w:cs="Times New Roman"/>
          <w:sz w:val="24"/>
          <w:szCs w:val="24"/>
        </w:rPr>
        <w:t>ponsabilidade exclusiva da Instituição Associada selecionada, a quem incumbirá comunicar a sua decisão ao candidato.</w:t>
      </w:r>
    </w:p>
    <w:p w:rsidR="001946B6" w:rsidRDefault="001946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1946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pStyle w:val="Ttulo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tyjcwt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INSCRIÇÃO</w:t>
      </w:r>
    </w:p>
    <w:p w:rsidR="001946B6" w:rsidRDefault="00C327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inscrição no processo seletivo ENAPROFGEO 2024 será realizada de acordo com o descrito nos editais específicos de cada Instituição Associada. Antes de iniciar o processo de inscrição, deve-se OBRIGATORIAMENTE ler com atenção este Edital, pois qualquer er</w:t>
      </w:r>
      <w:r>
        <w:rPr>
          <w:rFonts w:ascii="Times New Roman" w:eastAsia="Times New Roman" w:hAnsi="Times New Roman" w:cs="Times New Roman"/>
          <w:sz w:val="24"/>
          <w:szCs w:val="24"/>
        </w:rPr>
        <w:t>ro de preenchimento é de inteira responsabilidade da pessoa interessada, não cabendo a alegação de equívoco como fundamento de recurso.</w:t>
      </w:r>
    </w:p>
    <w:p w:rsidR="001946B6" w:rsidRDefault="001946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período de inscrição será de 03 de setembro a 18 de outubro de 2024, horário oficial de Brasília.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pessoa interessad</w:t>
      </w:r>
      <w:r>
        <w:rPr>
          <w:rFonts w:ascii="Times New Roman" w:eastAsia="Times New Roman" w:hAnsi="Times New Roman" w:cs="Times New Roman"/>
          <w:sz w:val="24"/>
          <w:szCs w:val="24"/>
        </w:rPr>
        <w:t>a deverá acessar o edital específico da Instituição Associada onde deseja realizar o curso e seguir as orientações para a inscrição na seleção daquela instituição.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valor da taxa de inscrição é de R$50,00 (cinquenta reais) e deverá ser pago conforme as in</w:t>
      </w:r>
      <w:r>
        <w:rPr>
          <w:rFonts w:ascii="Times New Roman" w:eastAsia="Times New Roman" w:hAnsi="Times New Roman" w:cs="Times New Roman"/>
          <w:sz w:val="24"/>
          <w:szCs w:val="24"/>
        </w:rPr>
        <w:t>struções nos editais específicos da Instituição Associada.</w:t>
      </w:r>
    </w:p>
    <w:p w:rsidR="001946B6" w:rsidRDefault="00C32758">
      <w:pPr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pagamento da inscrição deve ser efetuado no período de 03 de setembro a 18 de outubro de 2024. Pagamentos fora desse prazo não serão processados.</w:t>
      </w:r>
    </w:p>
    <w:p w:rsidR="001946B6" w:rsidRDefault="00C32758">
      <w:pPr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valor pago não será restituído em nenhuma hipót</w:t>
      </w:r>
      <w:r>
        <w:rPr>
          <w:rFonts w:ascii="Times New Roman" w:eastAsia="Times New Roman" w:hAnsi="Times New Roman" w:cs="Times New Roman"/>
          <w:sz w:val="24"/>
          <w:szCs w:val="24"/>
        </w:rPr>
        <w:t>ese.</w:t>
      </w:r>
    </w:p>
    <w:p w:rsidR="001946B6" w:rsidRDefault="00C32758">
      <w:pPr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pessoa que desejar isenção da taxa de inscrição deve proceder de acordo com o item 6.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Pagamentos eventualmente realizados depois do vencimento, não serão considerados válidos, ensejando a não inscrição do candidato no Exame, sem restituição do valor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pago indevidamente.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Não será permitida a transferência do valor pago como taxa de inscrição para outra pessoa, nem a transferência da inscrição para pessoa diferente daquela que a realizou.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solicitação de inscrição estará efetivada somente após o pagam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ento do boleto bancário mencionado no item 5.3 com a devida confirmação pela rede bancária. </w:t>
      </w:r>
    </w:p>
    <w:p w:rsidR="001946B6" w:rsidRDefault="00C3275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Agendamentos bancários não serão aceitos como comprovante de pagamento, pois a homologação fica dependente da efetivação do débito em conta, e o comprovante de age</w:t>
      </w:r>
      <w:r>
        <w:rPr>
          <w:rFonts w:ascii="Times New Roman" w:eastAsia="Times New Roman" w:hAnsi="Times New Roman" w:cs="Times New Roman"/>
          <w:sz w:val="24"/>
          <w:szCs w:val="24"/>
        </w:rPr>
        <w:t>ndamento não é equivalente ao comprovante de pagamento.</w:t>
      </w:r>
    </w:p>
    <w:p w:rsidR="001946B6" w:rsidRDefault="00C327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homologação da inscrição está condicionada à comprovação do pagamento da taxa de inscrição. </w:t>
      </w:r>
    </w:p>
    <w:p w:rsidR="001946B6" w:rsidRDefault="00C327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Cabe à pessoa interessada acompanhar a sua inscrição e a publicação da ‘Lista de pessoas inscritas”.</w:t>
      </w:r>
    </w:p>
    <w:p w:rsidR="001946B6" w:rsidRDefault="001946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pStyle w:val="Ttulo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3dy6vkm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SOLICITAÇÃO DE ISENÇÃO DA TAXA DE PAGAMENTO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pessoa que desejar isenção da taxa de inscrição deve atender aos requisitos do Decreto n.º 6.593, de 02 de outubro de 2008, da Presidência da República.</w:t>
      </w:r>
    </w:p>
    <w:p w:rsidR="001946B6" w:rsidRDefault="00C32758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candidatos à UERJ seguem edital específico para isençã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da taxa de pagamento.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período para solicitação de isenção será de 03 a 29 de setembro de 2024, até as 23h59min, conforme instruções do edital específico de cada Instituição Associada.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dia 07 de outubro de 2024, estará disponível, na página indicada </w:t>
      </w:r>
      <w:r>
        <w:rPr>
          <w:rFonts w:ascii="Times New Roman" w:eastAsia="Times New Roman" w:hAnsi="Times New Roman" w:cs="Times New Roman"/>
          <w:sz w:val="24"/>
          <w:szCs w:val="24"/>
        </w:rPr>
        <w:t>pela Instituição Associada, o “Resultado dos pedidos de isenção” com a indicação das inscrições isentas ou não do pagamento da taxa de inscrição.</w:t>
      </w:r>
    </w:p>
    <w:p w:rsidR="001946B6" w:rsidRDefault="00C32758">
      <w:pPr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Acessar o endereço eletrônico do processo seletivo e acompanhar a situação do pedido de isenção é responsabili</w:t>
      </w:r>
      <w:r>
        <w:rPr>
          <w:rFonts w:ascii="Times New Roman" w:eastAsia="Times New Roman" w:hAnsi="Times New Roman" w:cs="Times New Roman"/>
          <w:sz w:val="24"/>
          <w:szCs w:val="24"/>
        </w:rPr>
        <w:t>dade da pessoa interessada.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pessoa interessada que tiver seu pedido de isenção deferido terá sua inscrição homologada automaticamente.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pessoa interessada que tiver seu pedido de isenção indeferido deve efetuar o pagamento da taxa de inscrição entre os dias 23 de setembro a 18 de outubro de 2024.</w:t>
      </w:r>
    </w:p>
    <w:p w:rsidR="001946B6" w:rsidRDefault="00C32758">
      <w:pPr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pessoa interessada que tiver seu pedido de isenção indeferido e não efetuar o pagamento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taxa de inscrição na forma e no prazo estabelecidos neste Edital, não terá sua inscrição homologada.</w:t>
      </w:r>
    </w:p>
    <w:p w:rsidR="001946B6" w:rsidRDefault="001946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pStyle w:val="Ttulo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1t3h5sf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LISTA DE PESSOAS INSCRITAS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4d34og8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 xml:space="preserve">No dia 28 de outubro de 2024 será publicada a “Lista prévia das pessoas inscritas” na página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informada por cada Instituição Associada. A partir dessa lista, de consulta OBRIGATÓRIA, a pessoa interessada deverá verificar seus dados.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caso de não encontrar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seu nome na lista, a pessoa interessada deve informar a situação exclusivamente através do e-mail informado pela Instituição Associada onde realizou a inscrição, até o dia 30 de outubro de 2024.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mensagem requisitando análise para inclusão de nome na li</w:t>
      </w:r>
      <w:r>
        <w:rPr>
          <w:rFonts w:ascii="Times New Roman" w:eastAsia="Times New Roman" w:hAnsi="Times New Roman" w:cs="Times New Roman"/>
          <w:sz w:val="24"/>
          <w:szCs w:val="24"/>
        </w:rPr>
        <w:t>sta deve informar os seguintes dados da pessoa inscrita: o nome completo ou o nome social (se for o caso), o número do CPF, a data de nascimento e a entidade associada escolhida, além de ter anexadas a ficha de inscrição e o comprovante de pagamento da tax</w:t>
      </w:r>
      <w:r>
        <w:rPr>
          <w:rFonts w:ascii="Times New Roman" w:eastAsia="Times New Roman" w:hAnsi="Times New Roman" w:cs="Times New Roman"/>
          <w:sz w:val="24"/>
          <w:szCs w:val="24"/>
        </w:rPr>
        <w:t>a de inscrição, no caso de inscrição não isenta da taxa.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Após o dia 30 de outubro de 2024, as solicitações de inclusão de nome na lista de pessoas inscritas não serão atendidas.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eading=h.2s8eyo1" w:colFirst="0" w:colLast="0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>No dia 04 de novembro de 2024 será publicada a “Lista final das pessoas inscr</w:t>
      </w:r>
      <w:r>
        <w:rPr>
          <w:rFonts w:ascii="Times New Roman" w:eastAsia="Times New Roman" w:hAnsi="Times New Roman" w:cs="Times New Roman"/>
          <w:sz w:val="24"/>
          <w:szCs w:val="24"/>
        </w:rPr>
        <w:t>itas” na página informada por cada Instituição Associada.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Cada pessoa participará do processo seletivo ENAPROFGEO 2024 por meio de apenas uma inscrição. Caso exista mais de uma inscrição para um mesmo CPF, será homologada a última inscrição realizada.</w:t>
      </w:r>
    </w:p>
    <w:p w:rsidR="001946B6" w:rsidRDefault="001946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pStyle w:val="Ttulo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17dp8vu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z w:val="24"/>
          <w:szCs w:val="24"/>
        </w:rPr>
        <w:t>STITUIÇÃO DO PROCESSO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eading=h.3rdcrjn" w:colFirst="0" w:colLast="0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>O processo seletivo ENAPROFGEO 2024 é constituído de uma prova eliminatória e classificatória com: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20 (vinte) questões objetivas (prova objetiva) e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1 (uma) redação de até 20 linhas (prova discursiva).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Será requisitado à pessoa i</w:t>
      </w:r>
      <w:r>
        <w:rPr>
          <w:rFonts w:ascii="Times New Roman" w:eastAsia="Times New Roman" w:hAnsi="Times New Roman" w:cs="Times New Roman"/>
          <w:sz w:val="24"/>
          <w:szCs w:val="24"/>
        </w:rPr>
        <w:t>nscrita que responda aos problemas propostos, refletindo sobre os temas fundamentais da disciplina de Geografia e de seu ensino, conforme o programa da prova em anexo (Anexo B).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prova com as questões objetivas e a redação será realizada na modalidade pre</w:t>
      </w:r>
      <w:r>
        <w:rPr>
          <w:rFonts w:ascii="Times New Roman" w:eastAsia="Times New Roman" w:hAnsi="Times New Roman" w:cs="Times New Roman"/>
          <w:sz w:val="24"/>
          <w:szCs w:val="24"/>
        </w:rPr>
        <w:t>sencial na Instituição onde o(a) candidato(a) se inscrever para realizar o curso, no dia 01 de dezembro de 2024, das 14h às 18h, horário de Brasília.</w:t>
      </w:r>
    </w:p>
    <w:p w:rsidR="001946B6" w:rsidRDefault="001946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pStyle w:val="Ttulo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14" w:name="_heading=h.26in1rg" w:colFirst="0" w:colLast="0"/>
      <w:bookmarkEnd w:id="14"/>
      <w:r>
        <w:rPr>
          <w:rFonts w:ascii="Times New Roman" w:eastAsia="Times New Roman" w:hAnsi="Times New Roman" w:cs="Times New Roman"/>
          <w:sz w:val="24"/>
          <w:szCs w:val="24"/>
        </w:rPr>
        <w:t>REALIZAÇÃO DA PROVA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prova será realizada no dia 24 de novembro de 2024, domingo, com duração de 4 hora</w:t>
      </w:r>
      <w:r>
        <w:rPr>
          <w:rFonts w:ascii="Times New Roman" w:eastAsia="Times New Roman" w:hAnsi="Times New Roman" w:cs="Times New Roman"/>
          <w:sz w:val="24"/>
          <w:szCs w:val="24"/>
        </w:rPr>
        <w:t>s, das 14h às 18h, horário de Brasília.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eading=h.lnxbz9" w:colFirst="0" w:colLast="0"/>
      <w:bookmarkEnd w:id="15"/>
      <w:r>
        <w:rPr>
          <w:rFonts w:ascii="Times New Roman" w:eastAsia="Times New Roman" w:hAnsi="Times New Roman" w:cs="Times New Roman"/>
          <w:sz w:val="24"/>
          <w:szCs w:val="24"/>
        </w:rPr>
        <w:t xml:space="preserve">Durante a realização do Exame, não será admitida qualquer espécie de consulta ou comunicação entre os candidatos ou quaisquer outras pessoas, além dos fiscais da prova.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respostas às questões serão necessariamente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assinaladas utilizando-se somente caneta esferográfica de tinta preta ou azul, não sendo permitido o uso de qualquer corretivo.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É de inteira responsabilidade do candidato o correto preenchimento da Folha de Respostas.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é permitido o uso de régua, esq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uadro, compasso ou transferidor, máquina calculadora, nem qualquer forma de consulta bibliográfica a livros, impressos, manuais, anotações ou suportes eletrônicos de informação, tais como computadores, agendas eletrônicas, máquinas fotográficas, telefones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celulares, tablets ou quaisquer outros.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Não haverá prorrogação do tempo de duração previsto para a aplicação do Exame, qualquer que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seja a alegação, nem mesmo por motivo de afastamento autorizado do candidato do ambiente da prova.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Não será permitido ao candidato realizar o Exame em qualquer outro local que não seja aquele selecionado no ato da inscrição.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candidato deverá comparecer ao local de realização da prova na Instituição Associada selecionada no ato da inscrição, indicado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página de internet da mesma, com antecedência mínima de uma hora do horário fixado para o início do Exame, portando: 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Documento de identificação original com foto; 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Protocolo de Inscrição; 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Caneta esferográfica de tinta preta ou azul.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gabarit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da prova objetiva será divulgado no dia 25 de novembro de 2024, na página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www.ufsm.br/profgeo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interpor recurso aos itens (questões) de prova, entre os dias 26 a 27 de novembro de 2024, a pessoa inscrita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realizou a prova deve: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eading=h.35nkun2" w:colFirst="0" w:colLast="0"/>
      <w:bookmarkEnd w:id="16"/>
      <w:r>
        <w:rPr>
          <w:rFonts w:ascii="Times New Roman" w:eastAsia="Times New Roman" w:hAnsi="Times New Roman" w:cs="Times New Roman"/>
          <w:sz w:val="24"/>
          <w:szCs w:val="24"/>
        </w:rPr>
        <w:t xml:space="preserve">a) encaminhar e-mail ao endereço: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profgeo@ufsm.br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com título da mensagem: “Recurso ENAPROFGEO 2024;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no corpo da mensagem deverá ser indicado o número da questão e a justificativa do </w:t>
      </w:r>
      <w:r>
        <w:rPr>
          <w:rFonts w:ascii="Times New Roman" w:eastAsia="Times New Roman" w:hAnsi="Times New Roman" w:cs="Times New Roman"/>
          <w:sz w:val="24"/>
          <w:szCs w:val="24"/>
        </w:rPr>
        <w:t>pedido de revisão, precisando o ponto objeto do recurso.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eading=h.1ksv4uv" w:colFirst="0" w:colLast="0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 xml:space="preserve">A divulgação do gabarito após o julgamento dos recursos será no dia 29 de novembro de 2024, na página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www.ufsm.br/profgeo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6B6" w:rsidRDefault="001946B6">
      <w:pPr>
        <w:spacing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946B6" w:rsidRDefault="00C32758">
      <w:pPr>
        <w:pStyle w:val="Ttulo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18" w:name="_heading=h.44sinio" w:colFirst="0" w:colLast="0"/>
      <w:bookmarkEnd w:id="18"/>
      <w:r>
        <w:rPr>
          <w:rFonts w:ascii="Times New Roman" w:eastAsia="Times New Roman" w:hAnsi="Times New Roman" w:cs="Times New Roman"/>
          <w:sz w:val="24"/>
          <w:szCs w:val="24"/>
        </w:rPr>
        <w:t>CLASSIFICAÇÃO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eading=h.2jxsxqh" w:colFirst="0" w:colLast="0"/>
      <w:bookmarkEnd w:id="19"/>
      <w:r>
        <w:rPr>
          <w:rFonts w:ascii="Times New Roman" w:eastAsia="Times New Roman" w:hAnsi="Times New Roman" w:cs="Times New Roman"/>
          <w:sz w:val="24"/>
          <w:szCs w:val="24"/>
        </w:rPr>
        <w:t>As pessoas participantes serão classificadas em ordem decrescente da nota final.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questões objetivas valem 10 pontos no total (0,5 ponto por questão) com peso 0,50; já a questão redação vale 10 pontos com peso 0,50.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nota final (NF) será resultante da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ontuação obtida nas questões objetivas (PO) multiplicada por 0,50, somada à pontuação obtida na prova discursiva (PD) multiplicada por 0,50, conforme a seguinte equação: NF = (PO x 0,50) + (PD x 0,50).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Somente terão a redação corrigida, as pessoas que: 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obtiverem o mínimo de 50% de acertos das questões válidas (não anuladas) na prova objetiva;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estiverem classificadas no grupo correspondente a quatro vezes o número de vagas destinadas à Instituição Associada escolhida.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ocorrência de pessoas empatad</w:t>
      </w:r>
      <w:r>
        <w:rPr>
          <w:rFonts w:ascii="Times New Roman" w:eastAsia="Times New Roman" w:hAnsi="Times New Roman" w:cs="Times New Roman"/>
          <w:sz w:val="24"/>
          <w:szCs w:val="24"/>
        </w:rPr>
        <w:t>as na última posição, respeitando-se o número de vagas, serão adotados como critérios de desempate: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1º)  maior idade; 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2º) maior nota na prova objetiva;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3º) maior nota na redação (prova dissertativa).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classificação ocorrerá por Instituição Associada e po</w:t>
      </w:r>
      <w:r>
        <w:rPr>
          <w:rFonts w:ascii="Times New Roman" w:eastAsia="Times New Roman" w:hAnsi="Times New Roman" w:cs="Times New Roman"/>
          <w:sz w:val="24"/>
          <w:szCs w:val="24"/>
        </w:rPr>
        <w:t>r sistema de vagas, conforme opção apontada na inscrição.</w:t>
      </w:r>
    </w:p>
    <w:p w:rsidR="001946B6" w:rsidRDefault="001946B6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6B6" w:rsidRDefault="00C32758">
      <w:pPr>
        <w:pStyle w:val="Ttulo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20" w:name="_heading=h.z337ya" w:colFirst="0" w:colLast="0"/>
      <w:bookmarkEnd w:id="20"/>
      <w:r>
        <w:rPr>
          <w:rFonts w:ascii="Times New Roman" w:eastAsia="Times New Roman" w:hAnsi="Times New Roman" w:cs="Times New Roman"/>
          <w:sz w:val="24"/>
          <w:szCs w:val="24"/>
        </w:rPr>
        <w:t>RESULTADOS E RECURSOS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eading=h.3j2qqm3" w:colFirst="0" w:colLast="0"/>
      <w:bookmarkEnd w:id="21"/>
      <w:r>
        <w:rPr>
          <w:rFonts w:ascii="Times New Roman" w:eastAsia="Times New Roman" w:hAnsi="Times New Roman" w:cs="Times New Roman"/>
          <w:sz w:val="24"/>
          <w:szCs w:val="24"/>
        </w:rPr>
        <w:t>O ‘Resultado preliminar e a lista de pessoas inscritas com as respectivas notas', serão publicados na página informada por cada Instituição Associada, até o dia 13 de dezembro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2024.</w:t>
      </w:r>
    </w:p>
    <w:p w:rsidR="001946B6" w:rsidRDefault="00C32758">
      <w:pPr>
        <w:numPr>
          <w:ilvl w:val="1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Após a divulgação dos resultados preliminares somente serão aceitos recursos em relação a nota da questão discursiva (redação).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prazo para interposição de recurso ao ‘Resultado preliminar e à lista de pessoas inscritas com as respectivas notas’, será de 14 a 17 de dezembro de 2024, exclusivamente por e-mail direcionado à Instituição Associada em que realizou a prova.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pedido de </w:t>
      </w:r>
      <w:r>
        <w:rPr>
          <w:rFonts w:ascii="Times New Roman" w:eastAsia="Times New Roman" w:hAnsi="Times New Roman" w:cs="Times New Roman"/>
          <w:sz w:val="24"/>
          <w:szCs w:val="24"/>
        </w:rPr>
        <w:t>revisão enviado em desconformidade com este Edital não será analisado.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‘Resultado final do processo seletivo ENA PROFGEO 2024’, será publicado na página do PROFGEO e na página informada por cada Instituição Associada, até o dia 20 de dezembro de 2024.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z w:val="24"/>
          <w:szCs w:val="24"/>
        </w:rPr>
        <w:t>classificação final, não cabe recurso.</w:t>
      </w:r>
    </w:p>
    <w:p w:rsidR="001946B6" w:rsidRDefault="001946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pStyle w:val="Ttulo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22" w:name="_heading=h.1y810tw" w:colFirst="0" w:colLast="0"/>
      <w:bookmarkEnd w:id="22"/>
      <w:r>
        <w:rPr>
          <w:rFonts w:ascii="Times New Roman" w:eastAsia="Times New Roman" w:hAnsi="Times New Roman" w:cs="Times New Roman"/>
          <w:sz w:val="24"/>
          <w:szCs w:val="24"/>
        </w:rPr>
        <w:t>CONFIRMAÇÃO DE VAGA E MATRÍCULA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confirmação de vaga e a matrícula são de responsabilidade da Instituição Associada escolhida durante o processo de inscrição. </w:t>
      </w:r>
    </w:p>
    <w:p w:rsidR="001946B6" w:rsidRDefault="00C32758">
      <w:pPr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Cada Instituição Associada definirá e tornará público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data, o local e o horário de realização da matrícula, cumprindo os prazos definidos neste Edital.</w:t>
      </w:r>
    </w:p>
    <w:p w:rsidR="001946B6" w:rsidRDefault="00C32758">
      <w:pPr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matrícula e conferência da documentação dos candidatos classificados para ingresso no PROFGEO são de exclusiva responsabilidade de cada Instituição Associ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ada. </w:t>
      </w:r>
    </w:p>
    <w:p w:rsidR="001946B6" w:rsidRDefault="00C32758">
      <w:pPr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caso em que candidatos classificados não efetuem a sua matrícula na Instituição Associada selecionada, no prazo estipulado, as vagas remanescentes serão atribuídas aos demais candidatos aprovados para a mesma instituição associada, respeitada a or</w:t>
      </w:r>
      <w:r>
        <w:rPr>
          <w:rFonts w:ascii="Times New Roman" w:eastAsia="Times New Roman" w:hAnsi="Times New Roman" w:cs="Times New Roman"/>
          <w:sz w:val="24"/>
          <w:szCs w:val="24"/>
        </w:rPr>
        <w:t>dem decrescente da nota total e os critérios de desempate, respeitados os critérios estabelecidos.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pessoa classificada deve estar atenta às publicações de edital de confirmação de vaga e matrícula referente ao PROFGEO pela Instituição Associada escolhida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matrícula do candidato classificado será confirmada após preenchimento obrigatório de seu registro na Plataforma Freire da CAPES, acessível pelo link: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https://freire.capes.gov.br/portal/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acordo com o regulamento da Instituição Associada em que for matriculada após sua aprovação neste processo seletivo e, de acordo com os prazos estabelecidos, a pessoa classificada deverá cumprir a exigência relativa à proficiência em língua estrangeira.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 vedada a matrícula no Mestrado Profissional em Ensino de Geografia à pessoa classificada que já esteja matriculada em curso de pós-graduação de instituição pública.</w:t>
      </w:r>
    </w:p>
    <w:p w:rsidR="001946B6" w:rsidRDefault="001946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pStyle w:val="Ttulo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23" w:name="_heading=h.4i7ojhp" w:colFirst="0" w:colLast="0"/>
      <w:bookmarkEnd w:id="23"/>
      <w:r>
        <w:rPr>
          <w:rFonts w:ascii="Times New Roman" w:eastAsia="Times New Roman" w:hAnsi="Times New Roman" w:cs="Times New Roman"/>
          <w:sz w:val="24"/>
          <w:szCs w:val="24"/>
        </w:rPr>
        <w:t>CONCESSÃO DE BOLSAS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CAPES concede bolsas a 30% (trinta por cento) do quantitativo de </w:t>
      </w:r>
      <w:r>
        <w:rPr>
          <w:rFonts w:ascii="Times New Roman" w:eastAsia="Times New Roman" w:hAnsi="Times New Roman" w:cs="Times New Roman"/>
          <w:sz w:val="24"/>
          <w:szCs w:val="24"/>
        </w:rPr>
        <w:t>vagas abertas por este edital, condicionadas à disponibilidade orçamentária e às exigências da CAPES e de cada Instituição Associada.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recebimento de bolsa, a pessoa classificada deverá cumprir, de acordo com o art. 2º da Portaria n.º 61, da CAPES, de </w:t>
      </w:r>
      <w:r>
        <w:rPr>
          <w:rFonts w:ascii="Times New Roman" w:eastAsia="Times New Roman" w:hAnsi="Times New Roman" w:cs="Times New Roman"/>
          <w:sz w:val="24"/>
          <w:szCs w:val="24"/>
        </w:rPr>
        <w:t>22 de março de 2017, as seguintes exigências: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comprovar efetiva docência na rede pública de ensino básico, através de declaração emitida pela direção da escola;</w:t>
      </w:r>
    </w:p>
    <w:p w:rsidR="001946B6" w:rsidRDefault="00C327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firmar termo de compromisso colocando-se sob disponibilidade para integrar banco de currí</w:t>
      </w:r>
      <w:r>
        <w:rPr>
          <w:rFonts w:ascii="Times New Roman" w:eastAsia="Times New Roman" w:hAnsi="Times New Roman" w:cs="Times New Roman"/>
          <w:sz w:val="24"/>
          <w:szCs w:val="24"/>
        </w:rPr>
        <w:t>culos para atuação na tutoria, no âmbito do Sistema UAB, após o término do curso, por igual período de vigência de sua bolsa.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concessão de bolsas obedecerá às normas descritas em edital específico a ser publicado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posteriormente, e aos critérios estabelec</w:t>
      </w:r>
      <w:r>
        <w:rPr>
          <w:rFonts w:ascii="Times New Roman" w:eastAsia="Times New Roman" w:hAnsi="Times New Roman" w:cs="Times New Roman"/>
          <w:sz w:val="24"/>
          <w:szCs w:val="24"/>
        </w:rPr>
        <w:t>idos por cada Instituição Associada, de acordo com a ordem de classificação.</w:t>
      </w:r>
    </w:p>
    <w:p w:rsidR="001946B6" w:rsidRDefault="001946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pStyle w:val="Ttulo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24" w:name="_heading=h.2xcytpi" w:colFirst="0" w:colLast="0"/>
      <w:bookmarkEnd w:id="24"/>
      <w:r>
        <w:rPr>
          <w:rFonts w:ascii="Times New Roman" w:eastAsia="Times New Roman" w:hAnsi="Times New Roman" w:cs="Times New Roman"/>
          <w:sz w:val="24"/>
          <w:szCs w:val="24"/>
        </w:rPr>
        <w:t xml:space="preserve">DISPOSIÇÕES FINAIS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extrato deste Edital será divulgado no Diário Oficial da União. A íntegra do Edital estará disponível na página do processo seletivo ENAPROFGEO 2024.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UFSM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divulgará, quando necessário, Editais, Retificações, Normas Complementares, Avisos Oficiais e Convocações para desempate na página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https://www.ufsm.br/pro-reitorias/prpgp/editais/</w:t>
        </w:r>
      </w:hyperlink>
      <w:r>
        <w:rPr>
          <w:sz w:val="16"/>
          <w:szCs w:val="16"/>
        </w:rPr>
        <w:t>,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responsabilidade da pessoa interessada acompanhar as divulgações. </w:t>
      </w:r>
    </w:p>
    <w:p w:rsidR="001946B6" w:rsidRDefault="00C32758">
      <w:pPr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Cabe ao(à) candidato(a) acompanhar a divulgação de todos os atos, editais, regimentos, normas e comunicados referentes ou relacionados ao Exame que forem publicitados na página de intern</w:t>
      </w:r>
      <w:r>
        <w:rPr>
          <w:rFonts w:ascii="Times New Roman" w:eastAsia="Times New Roman" w:hAnsi="Times New Roman" w:cs="Times New Roman"/>
          <w:sz w:val="24"/>
          <w:szCs w:val="24"/>
        </w:rPr>
        <w:t>et do PROFGEO e na página de internet da Instituição Associada na qual se inscreveu.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preenchimento correto de todos os documentos que fazem parte do processo seletivo ENA PROFGEO 2024, inclusive a escolha pela Cota, é de inteira responsabilidade da pessoa interessada.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esclarecer dúvidas referentes à inscrição no processo seletivo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PROFGEO 2024, sobre o curso, disciplinas, horários de aulas, entre outros, deve-se contatar a coordenação do processo através do e-mail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profgeo@ufsm.br</w:t>
        </w:r>
      </w:hyperlink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PRPGP não se responsabiliza pela possibilidade de o proc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esso de inscrição não ser completado por motivo de ordem técnica dos recursos computacionais, falhas de comunicação, congestionamento das linhas de comunicação, bem como de qualquer outra eventualidade que impossibilite o processamento de dados.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constat</w:t>
      </w:r>
      <w:r>
        <w:rPr>
          <w:rFonts w:ascii="Times New Roman" w:eastAsia="Times New Roman" w:hAnsi="Times New Roman" w:cs="Times New Roman"/>
          <w:sz w:val="24"/>
          <w:szCs w:val="24"/>
        </w:rPr>
        <w:t>ação de qualquer tipo de fraude na realização do processo seletivo sujeita a pessoa classificada à perda da vaga e às penalidades da lei, aplicando-se o disposto no parágrafo único, do artigo n.º 10, do Decreto n.º 83.936, de 6 de setembro de 1979, em qual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quer época, mesmo após a matrícula. 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resultados obtidos no processo seletivo ENAPROFGEO 2024 terão validade para ingresso no ano letivo de 2025.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eading=h.2bn6wsx" w:colFirst="0" w:colLast="0"/>
      <w:bookmarkEnd w:id="25"/>
      <w:r>
        <w:rPr>
          <w:rFonts w:ascii="Times New Roman" w:eastAsia="Times New Roman" w:hAnsi="Times New Roman" w:cs="Times New Roman"/>
          <w:sz w:val="24"/>
          <w:szCs w:val="24"/>
        </w:rPr>
        <w:t>A PRPGP manterá o material referente ao processo seletivo ENAPROFGEO 2024 até março de 2025, sendo, após, de</w:t>
      </w:r>
      <w:r>
        <w:rPr>
          <w:rFonts w:ascii="Times New Roman" w:eastAsia="Times New Roman" w:hAnsi="Times New Roman" w:cs="Times New Roman"/>
          <w:sz w:val="24"/>
          <w:szCs w:val="24"/>
        </w:rPr>
        <w:t>struído.</w:t>
      </w:r>
    </w:p>
    <w:p w:rsidR="001946B6" w:rsidRDefault="00C32758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casos omissos serão resolvidos pela PRPGP/UFSM.</w:t>
      </w:r>
    </w:p>
    <w:p w:rsidR="001946B6" w:rsidRDefault="001946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1946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1946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CRISTINA WAYNE NOGUEIRA</w:t>
      </w:r>
    </w:p>
    <w:p w:rsidR="001946B6" w:rsidRDefault="00C3275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Pró-Reitora da Pró-Reitoria de Pós-Graduação e Pesquisa</w:t>
      </w:r>
    </w:p>
    <w:p w:rsidR="001946B6" w:rsidRDefault="001946B6">
      <w:pPr>
        <w:jc w:val="center"/>
      </w:pPr>
    </w:p>
    <w:p w:rsidR="001946B6" w:rsidRDefault="001946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6B6" w:rsidRDefault="001946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6B6" w:rsidRDefault="00C3275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CESAR DE DAVID</w:t>
      </w:r>
    </w:p>
    <w:p w:rsidR="001946B6" w:rsidRDefault="00C3275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Coordenador do PROFGEO</w:t>
      </w:r>
    </w:p>
    <w:p w:rsidR="001946B6" w:rsidRDefault="001946B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1946B6" w:rsidRDefault="001946B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pStyle w:val="Ttulo1"/>
        <w:jc w:val="center"/>
        <w:rPr>
          <w:rFonts w:ascii="Times New Roman" w:eastAsia="Times New Roman" w:hAnsi="Times New Roman" w:cs="Times New Roman"/>
          <w:b w:val="0"/>
        </w:rPr>
      </w:pPr>
      <w:bookmarkStart w:id="26" w:name="_heading=h.1ci93xb" w:colFirst="0" w:colLast="0"/>
      <w:bookmarkEnd w:id="26"/>
      <w:r>
        <w:rPr>
          <w:rFonts w:ascii="Times New Roman" w:eastAsia="Times New Roman" w:hAnsi="Times New Roman" w:cs="Times New Roman"/>
        </w:rPr>
        <w:t>ANEXO A - DISTRIBUIÇÃO DAS VAGAS POR INSTITUIÇÃO ASSOCIADA</w:t>
      </w:r>
    </w:p>
    <w:p w:rsidR="001946B6" w:rsidRDefault="001946B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1946B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1946B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1946B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10206" w:type="dxa"/>
        <w:tblInd w:w="-11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403"/>
        <w:gridCol w:w="3401"/>
      </w:tblGrid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Instituição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Município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Número de Vagas</w:t>
            </w:r>
          </w:p>
        </w:tc>
      </w:tr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IFB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Brasília – DF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IFC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Brusque – SC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IFMG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Ouro Preto – MG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IFPR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Jaguariaíva - PR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IFRO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Cacoal - RO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UERJ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Rio de Janeiro – RJ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UERR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 Vista - RR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UFCG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Campina Grande – PB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UFGD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Dourados – MS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UFPA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Ananindeua - PA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UFPE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Recife – PE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UFSM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Santa Maria - RS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UnB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Brasília – DF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6B6">
        <w:trPr>
          <w:trHeight w:val="454"/>
        </w:trPr>
        <w:tc>
          <w:tcPr>
            <w:tcW w:w="3402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URCA</w:t>
            </w:r>
          </w:p>
        </w:tc>
        <w:tc>
          <w:tcPr>
            <w:tcW w:w="3403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Crato - CE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46B6">
        <w:trPr>
          <w:trHeight w:val="454"/>
        </w:trPr>
        <w:tc>
          <w:tcPr>
            <w:tcW w:w="6805" w:type="dxa"/>
            <w:gridSpan w:val="2"/>
            <w:vAlign w:val="center"/>
          </w:tcPr>
          <w:p w:rsidR="001946B6" w:rsidRDefault="00C327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401" w:type="dxa"/>
            <w:vAlign w:val="center"/>
          </w:tcPr>
          <w:p w:rsidR="001946B6" w:rsidRDefault="00C327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</w:tr>
    </w:tbl>
    <w:p w:rsidR="001946B6" w:rsidRDefault="001946B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1946B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1946B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C3275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1946B6" w:rsidRDefault="00C32758">
      <w:pPr>
        <w:pStyle w:val="Ttulo1"/>
        <w:jc w:val="center"/>
        <w:rPr>
          <w:rFonts w:ascii="Times New Roman" w:eastAsia="Times New Roman" w:hAnsi="Times New Roman" w:cs="Times New Roman"/>
          <w:b w:val="0"/>
        </w:rPr>
      </w:pPr>
      <w:bookmarkStart w:id="27" w:name="_heading=h.3whwml4" w:colFirst="0" w:colLast="0"/>
      <w:bookmarkEnd w:id="27"/>
      <w:r>
        <w:rPr>
          <w:rFonts w:ascii="Times New Roman" w:eastAsia="Times New Roman" w:hAnsi="Times New Roman" w:cs="Times New Roman"/>
        </w:rPr>
        <w:lastRenderedPageBreak/>
        <w:t>ANEXO B - CONTEÚDOS PROGRAMÁTICOS</w:t>
      </w:r>
    </w:p>
    <w:p w:rsidR="001946B6" w:rsidRDefault="001946B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8" w:name="_heading=h.mmn4ngw9r9lg" w:colFirst="0" w:colLast="0"/>
      <w:bookmarkEnd w:id="28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- Saberes e conhecimentos da Geografia no espaço escolar 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29" w:name="_heading=h.6a8d6wf9idw9" w:colFirst="0" w:colLast="0"/>
      <w:bookmarkEnd w:id="29"/>
      <w:r>
        <w:rPr>
          <w:rFonts w:ascii="Times New Roman" w:eastAsia="Times New Roman" w:hAnsi="Times New Roman" w:cs="Times New Roman"/>
          <w:sz w:val="24"/>
          <w:szCs w:val="24"/>
        </w:rPr>
        <w:t>1.1 Concepções teórico-metodológicas da Geografia e seu ensino;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30" w:name="_heading=h.72jcvkxthaj7" w:colFirst="0" w:colLast="0"/>
      <w:bookmarkEnd w:id="30"/>
      <w:r>
        <w:rPr>
          <w:rFonts w:ascii="Times New Roman" w:eastAsia="Times New Roman" w:hAnsi="Times New Roman" w:cs="Times New Roman"/>
          <w:sz w:val="24"/>
          <w:szCs w:val="24"/>
        </w:rPr>
        <w:t>1.2 Saberes disciplinares, curriculares, saberes da experiência e da ação pedagógica dos docentes;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31" w:name="_heading=h.bl74qm84gbcl" w:colFirst="0" w:colLast="0"/>
      <w:bookmarkEnd w:id="31"/>
      <w:r>
        <w:rPr>
          <w:rFonts w:ascii="Times New Roman" w:eastAsia="Times New Roman" w:hAnsi="Times New Roman" w:cs="Times New Roman"/>
          <w:sz w:val="24"/>
          <w:szCs w:val="24"/>
        </w:rPr>
        <w:t>1.2  Conceitos, categorias e conteúdos de geografia no Ensino Fundamental e Médio;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32" w:name="_heading=h.t7s7hbq0swea" w:colFirst="0" w:colLast="0"/>
      <w:bookmarkEnd w:id="32"/>
      <w:r>
        <w:rPr>
          <w:rFonts w:ascii="Times New Roman" w:eastAsia="Times New Roman" w:hAnsi="Times New Roman" w:cs="Times New Roman"/>
          <w:sz w:val="24"/>
          <w:szCs w:val="24"/>
        </w:rPr>
        <w:t>1.4 Progra</w:t>
      </w:r>
      <w:r>
        <w:rPr>
          <w:rFonts w:ascii="Times New Roman" w:eastAsia="Times New Roman" w:hAnsi="Times New Roman" w:cs="Times New Roman"/>
          <w:sz w:val="24"/>
          <w:szCs w:val="24"/>
        </w:rPr>
        <w:t>mas, documentos e regulamentações que disciplinam e orientam o ensino de Geografia;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33" w:name="_heading=h.9t9o0doidwjp" w:colFirst="0" w:colLast="0"/>
      <w:bookmarkEnd w:id="33"/>
      <w:r>
        <w:rPr>
          <w:rFonts w:ascii="Times New Roman" w:eastAsia="Times New Roman" w:hAnsi="Times New Roman" w:cs="Times New Roman"/>
          <w:sz w:val="24"/>
          <w:szCs w:val="24"/>
        </w:rPr>
        <w:t>1.5  Pesquisa e produção do conhecimento no campo da Geografia Escolar.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4" w:name="_heading=h.oqxvlp96d6q8" w:colFirst="0" w:colLast="0"/>
      <w:bookmarkEnd w:id="34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 - Formação docente em Geografia 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35" w:name="_heading=h.jgaor6equnjm" w:colFirst="0" w:colLast="0"/>
      <w:bookmarkEnd w:id="35"/>
      <w:r>
        <w:rPr>
          <w:rFonts w:ascii="Times New Roman" w:eastAsia="Times New Roman" w:hAnsi="Times New Roman" w:cs="Times New Roman"/>
          <w:sz w:val="24"/>
          <w:szCs w:val="24"/>
        </w:rPr>
        <w:t>2.1 As teorias pedagógicas na formação docente e seus desdobramentos na prática docente;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36" w:name="_heading=h.c7qdxs788ljo" w:colFirst="0" w:colLast="0"/>
      <w:bookmarkEnd w:id="36"/>
      <w:r>
        <w:rPr>
          <w:rFonts w:ascii="Times New Roman" w:eastAsia="Times New Roman" w:hAnsi="Times New Roman" w:cs="Times New Roman"/>
          <w:sz w:val="24"/>
          <w:szCs w:val="24"/>
        </w:rPr>
        <w:t>2.2 Formação docente e políticas curriculares: suas incidências no ensino de Geografia;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37" w:name="_heading=h.8rxt6ldcd11b" w:colFirst="0" w:colLast="0"/>
      <w:bookmarkEnd w:id="37"/>
      <w:r>
        <w:rPr>
          <w:rFonts w:ascii="Times New Roman" w:eastAsia="Times New Roman" w:hAnsi="Times New Roman" w:cs="Times New Roman"/>
          <w:sz w:val="24"/>
          <w:szCs w:val="24"/>
        </w:rPr>
        <w:t>2.3 A precarização do trabalho docente em Geografia;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38" w:name="_heading=h.wh65gbnadut6" w:colFirst="0" w:colLast="0"/>
      <w:bookmarkEnd w:id="38"/>
      <w:r>
        <w:rPr>
          <w:rFonts w:ascii="Times New Roman" w:eastAsia="Times New Roman" w:hAnsi="Times New Roman" w:cs="Times New Roman"/>
          <w:sz w:val="24"/>
          <w:szCs w:val="24"/>
        </w:rPr>
        <w:t>2.4 Políticas públicas, le</w:t>
      </w:r>
      <w:r>
        <w:rPr>
          <w:rFonts w:ascii="Times New Roman" w:eastAsia="Times New Roman" w:hAnsi="Times New Roman" w:cs="Times New Roman"/>
          <w:sz w:val="24"/>
          <w:szCs w:val="24"/>
        </w:rPr>
        <w:t>gislação e perspectivas de formação docente em Geografia;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39" w:name="_heading=h.vlr8cgjtz8bj" w:colFirst="0" w:colLast="0"/>
      <w:bookmarkEnd w:id="39"/>
      <w:r>
        <w:rPr>
          <w:rFonts w:ascii="Times New Roman" w:eastAsia="Times New Roman" w:hAnsi="Times New Roman" w:cs="Times New Roman"/>
          <w:sz w:val="24"/>
          <w:szCs w:val="24"/>
        </w:rPr>
        <w:t>2.5 Diversidade, diferença e inclusão no ensino de Geografia.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0" w:name="_heading=h.t6h2mck2wa6" w:colFirst="0" w:colLast="0"/>
      <w:bookmarkEnd w:id="4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 - As linguagens no ensino de Geografia  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41" w:name="_heading=h.4ypye345mqmn" w:colFirst="0" w:colLast="0"/>
      <w:bookmarkEnd w:id="41"/>
      <w:r>
        <w:rPr>
          <w:rFonts w:ascii="Times New Roman" w:eastAsia="Times New Roman" w:hAnsi="Times New Roman" w:cs="Times New Roman"/>
          <w:sz w:val="24"/>
          <w:szCs w:val="24"/>
        </w:rPr>
        <w:t>3.1 Linguagens: importância e participação na formação de raciocínios geográficos;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42" w:name="_heading=h.571fhxq83hmg" w:colFirst="0" w:colLast="0"/>
      <w:bookmarkEnd w:id="42"/>
      <w:r>
        <w:rPr>
          <w:rFonts w:ascii="Times New Roman" w:eastAsia="Times New Roman" w:hAnsi="Times New Roman" w:cs="Times New Roman"/>
          <w:sz w:val="24"/>
          <w:szCs w:val="24"/>
        </w:rPr>
        <w:t>3.2 Espe</w:t>
      </w:r>
      <w:r>
        <w:rPr>
          <w:rFonts w:ascii="Times New Roman" w:eastAsia="Times New Roman" w:hAnsi="Times New Roman" w:cs="Times New Roman"/>
          <w:sz w:val="24"/>
          <w:szCs w:val="24"/>
        </w:rPr>
        <w:t>cificidades e potencialidades das diferentes linguagens na educação geográfica;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43" w:name="_heading=h.3b8yshjv07dk" w:colFirst="0" w:colLast="0"/>
      <w:bookmarkEnd w:id="43"/>
      <w:r>
        <w:rPr>
          <w:rFonts w:ascii="Times New Roman" w:eastAsia="Times New Roman" w:hAnsi="Times New Roman" w:cs="Times New Roman"/>
          <w:sz w:val="24"/>
          <w:szCs w:val="24"/>
        </w:rPr>
        <w:t>3.3 Cartografias, geotecnologias e tecnologias da informação e comunicação;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44" w:name="_heading=h.qzmrt1lr6yea" w:colFirst="0" w:colLast="0"/>
      <w:bookmarkEnd w:id="44"/>
      <w:r>
        <w:rPr>
          <w:rFonts w:ascii="Times New Roman" w:eastAsia="Times New Roman" w:hAnsi="Times New Roman" w:cs="Times New Roman"/>
          <w:sz w:val="24"/>
          <w:szCs w:val="24"/>
        </w:rPr>
        <w:t xml:space="preserve">3.4 Arte, Fotografia, Cinema e outras linguagens visuais; </w:t>
      </w:r>
    </w:p>
    <w:p w:rsidR="001946B6" w:rsidRDefault="00C32758">
      <w:pPr>
        <w:widowControl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45" w:name="_heading=h.necrwu1slxz0" w:colFirst="0" w:colLast="0"/>
      <w:bookmarkEnd w:id="45"/>
      <w:r>
        <w:rPr>
          <w:rFonts w:ascii="Times New Roman" w:eastAsia="Times New Roman" w:hAnsi="Times New Roman" w:cs="Times New Roman"/>
          <w:sz w:val="24"/>
          <w:szCs w:val="24"/>
        </w:rPr>
        <w:t>3.5 Proposições metodológicas para o ensi</w:t>
      </w:r>
      <w:r>
        <w:rPr>
          <w:rFonts w:ascii="Times New Roman" w:eastAsia="Times New Roman" w:hAnsi="Times New Roman" w:cs="Times New Roman"/>
          <w:sz w:val="24"/>
          <w:szCs w:val="24"/>
        </w:rPr>
        <w:t>no de Geografia.</w:t>
      </w:r>
    </w:p>
    <w:p w:rsidR="001946B6" w:rsidRDefault="001946B6">
      <w:pPr>
        <w:widowControl/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6B6" w:rsidRDefault="001946B6">
      <w:pPr>
        <w:widowControl/>
        <w:spacing w:line="276" w:lineRule="auto"/>
      </w:pPr>
    </w:p>
    <w:p w:rsidR="001946B6" w:rsidRDefault="001946B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946B6">
      <w:headerReference w:type="default" r:id="rId14"/>
      <w:footerReference w:type="default" r:id="rId15"/>
      <w:pgSz w:w="11906" w:h="16838"/>
      <w:pgMar w:top="1287" w:right="850" w:bottom="1106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758" w:rsidRDefault="00C32758">
      <w:r>
        <w:separator/>
      </w:r>
    </w:p>
  </w:endnote>
  <w:endnote w:type="continuationSeparator" w:id="0">
    <w:p w:rsidR="00C32758" w:rsidRDefault="00C3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B6" w:rsidRDefault="00C32758">
    <w:pPr>
      <w:widowControl/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 w:rsidR="008C04F0">
      <w:fldChar w:fldCharType="separate"/>
    </w:r>
    <w:r w:rsidR="008C04F0">
      <w:rPr>
        <w:noProof/>
      </w:rPr>
      <w:t>1</w:t>
    </w:r>
    <w:r>
      <w:fldChar w:fldCharType="end"/>
    </w:r>
  </w:p>
  <w:p w:rsidR="001946B6" w:rsidRDefault="001946B6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758" w:rsidRDefault="00C32758">
      <w:r>
        <w:separator/>
      </w:r>
    </w:p>
  </w:footnote>
  <w:footnote w:type="continuationSeparator" w:id="0">
    <w:p w:rsidR="00C32758" w:rsidRDefault="00C3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B6" w:rsidRDefault="00C32758">
    <w:pPr>
      <w:ind w:firstLine="142"/>
      <w:rPr>
        <w:rFonts w:ascii="Times New Roman" w:eastAsia="Times New Roman" w:hAnsi="Times New Roman" w:cs="Times New Roman"/>
      </w:rPr>
    </w:pPr>
    <w:r>
      <w:rPr>
        <w:noProof/>
        <w:sz w:val="20"/>
        <w:szCs w:val="20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749300</wp:posOffset>
          </wp:positionH>
          <wp:positionV relativeFrom="page">
            <wp:posOffset>280988</wp:posOffset>
          </wp:positionV>
          <wp:extent cx="727040" cy="719138"/>
          <wp:effectExtent l="0" t="0" r="0" b="0"/>
          <wp:wrapSquare wrapText="bothSides" distT="0" distB="0" distL="0" distR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040" cy="719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Ministério da Educação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5204149</wp:posOffset>
          </wp:positionH>
          <wp:positionV relativeFrom="paragraph">
            <wp:posOffset>-176208</wp:posOffset>
          </wp:positionV>
          <wp:extent cx="1280746" cy="723900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746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946B6" w:rsidRDefault="00C32758">
    <w:pPr>
      <w:ind w:firstLine="142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Universidade Federal de Santa Maria</w:t>
    </w:r>
  </w:p>
  <w:p w:rsidR="001946B6" w:rsidRDefault="00C32758">
    <w:pPr>
      <w:ind w:firstLine="142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Pró-Reitoria de Pós-Graduação e Pesquisa</w:t>
    </w:r>
  </w:p>
  <w:p w:rsidR="001946B6" w:rsidRDefault="001946B6">
    <w:pPr>
      <w:keepLines/>
      <w:widowControl/>
      <w:ind w:left="1440"/>
      <w:jc w:val="left"/>
      <w:rPr>
        <w:rFonts w:ascii="Times New Roman" w:eastAsia="Times New Roman" w:hAnsi="Times New Roman" w:cs="Times New Roman"/>
        <w:sz w:val="20"/>
        <w:szCs w:val="20"/>
      </w:rPr>
    </w:pPr>
  </w:p>
  <w:p w:rsidR="001946B6" w:rsidRDefault="001946B6">
    <w:pPr>
      <w:keepLines/>
      <w:widowControl/>
      <w:ind w:left="1440"/>
      <w:jc w:val="left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342AE"/>
    <w:multiLevelType w:val="multilevel"/>
    <w:tmpl w:val="80B05BD2"/>
    <w:lvl w:ilvl="0">
      <w:start w:val="1"/>
      <w:numFmt w:val="decimal"/>
      <w:lvlText w:val="%1 "/>
      <w:lvlJc w:val="left"/>
      <w:pPr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 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 "/>
      <w:lvlJc w:val="left"/>
      <w:pPr>
        <w:ind w:left="0" w:firstLine="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 "/>
      <w:lvlJc w:val="left"/>
      <w:pPr>
        <w:ind w:left="0" w:firstLine="0"/>
      </w:pPr>
    </w:lvl>
    <w:lvl w:ilvl="4">
      <w:start w:val="1"/>
      <w:numFmt w:val="decimal"/>
      <w:lvlText w:val="%1.%2.%3.%4.%5 "/>
      <w:lvlJc w:val="left"/>
      <w:pPr>
        <w:ind w:left="0" w:firstLine="0"/>
      </w:pPr>
    </w:lvl>
    <w:lvl w:ilvl="5">
      <w:start w:val="1"/>
      <w:numFmt w:val="decimal"/>
      <w:lvlText w:val="%1.%2.%3.%4.%5.%6 "/>
      <w:lvlJc w:val="left"/>
      <w:pPr>
        <w:ind w:left="0" w:firstLine="0"/>
      </w:pPr>
    </w:lvl>
    <w:lvl w:ilvl="6">
      <w:start w:val="1"/>
      <w:numFmt w:val="decimal"/>
      <w:lvlText w:val="%1.%2.%3.%4.%5.%6.%7 "/>
      <w:lvlJc w:val="left"/>
      <w:pPr>
        <w:ind w:left="0" w:firstLine="0"/>
      </w:pPr>
    </w:lvl>
    <w:lvl w:ilvl="7">
      <w:start w:val="1"/>
      <w:numFmt w:val="decimal"/>
      <w:lvlText w:val="%1.%2.%3.%4.%5.%6.%7.%8 "/>
      <w:lvlJc w:val="left"/>
      <w:pPr>
        <w:ind w:left="0" w:firstLine="0"/>
      </w:pPr>
    </w:lvl>
    <w:lvl w:ilvl="8">
      <w:start w:val="1"/>
      <w:numFmt w:val="decimal"/>
      <w:lvlText w:val="%1.%2.%3.%4.%5.%6.%7.%8.%9 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B6"/>
    <w:rsid w:val="001946B6"/>
    <w:rsid w:val="008C04F0"/>
    <w:rsid w:val="00C3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76176-0BFD-4DA6-ABD9-B04AA420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/>
      <w:pBdr>
        <w:top w:val="nil"/>
        <w:left w:val="nil"/>
        <w:bottom w:val="nil"/>
        <w:right w:val="nil"/>
        <w:between w:val="nil"/>
      </w:pBdr>
      <w:tabs>
        <w:tab w:val="left" w:pos="624"/>
      </w:tabs>
      <w:spacing w:before="113" w:line="276" w:lineRule="auto"/>
      <w:ind w:left="340" w:hanging="34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tabs>
        <w:tab w:val="left" w:pos="283"/>
        <w:tab w:val="left" w:pos="1020"/>
        <w:tab w:val="left" w:pos="1140"/>
      </w:tabs>
      <w:spacing w:before="57" w:line="276" w:lineRule="auto"/>
      <w:ind w:left="568" w:hanging="284"/>
      <w:outlineLvl w:val="1"/>
    </w:pPr>
    <w:rPr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tabs>
        <w:tab w:val="left" w:pos="228"/>
      </w:tabs>
      <w:spacing w:line="276" w:lineRule="auto"/>
      <w:ind w:left="1190" w:hanging="510"/>
      <w:outlineLvl w:val="2"/>
    </w:pPr>
    <w:rPr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tabs>
        <w:tab w:val="left" w:pos="-283"/>
        <w:tab w:val="left" w:pos="284"/>
      </w:tabs>
      <w:spacing w:line="276" w:lineRule="auto"/>
      <w:ind w:left="1701" w:hanging="624"/>
      <w:outlineLvl w:val="3"/>
    </w:pPr>
    <w:rPr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tabs>
        <w:tab w:val="left" w:pos="-737"/>
        <w:tab w:val="left" w:pos="-170"/>
        <w:tab w:val="left" w:pos="397"/>
      </w:tabs>
      <w:spacing w:line="276" w:lineRule="auto"/>
      <w:ind w:left="2155" w:hanging="794"/>
      <w:outlineLvl w:val="4"/>
    </w:pPr>
    <w:rPr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widowControl/>
      <w:pBdr>
        <w:top w:val="nil"/>
        <w:left w:val="nil"/>
        <w:bottom w:val="nil"/>
        <w:right w:val="nil"/>
        <w:between w:val="nil"/>
      </w:pBdr>
      <w:spacing w:line="360" w:lineRule="auto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table" w:customStyle="1" w:styleId="a">
    <w:basedOn w:val="TableNormal8"/>
    <w:tblPr>
      <w:tblStyleRowBandSize w:val="1"/>
      <w:tblStyleColBandSize w:val="1"/>
      <w:tblCellMar>
        <w:top w:w="57" w:type="dxa"/>
        <w:left w:w="47" w:type="dxa"/>
        <w:bottom w:w="57" w:type="dxa"/>
        <w:right w:w="57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57" w:type="dxa"/>
        <w:left w:w="52" w:type="dxa"/>
        <w:bottom w:w="57" w:type="dxa"/>
        <w:right w:w="57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57" w:type="dxa"/>
        <w:left w:w="52" w:type="dxa"/>
        <w:bottom w:w="57" w:type="dxa"/>
        <w:right w:w="57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top w:w="57" w:type="dxa"/>
        <w:left w:w="52" w:type="dxa"/>
        <w:bottom w:w="57" w:type="dxa"/>
        <w:right w:w="57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top w:w="57" w:type="dxa"/>
        <w:left w:w="52" w:type="dxa"/>
        <w:bottom w:w="57" w:type="dxa"/>
        <w:right w:w="57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57" w:type="dxa"/>
        <w:left w:w="52" w:type="dxa"/>
        <w:bottom w:w="57" w:type="dxa"/>
        <w:right w:w="57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06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0630"/>
  </w:style>
  <w:style w:type="paragraph" w:styleId="Rodap">
    <w:name w:val="footer"/>
    <w:basedOn w:val="Normal"/>
    <w:link w:val="RodapChar"/>
    <w:uiPriority w:val="99"/>
    <w:unhideWhenUsed/>
    <w:rsid w:val="00E606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0630"/>
  </w:style>
  <w:style w:type="table" w:customStyle="1" w:styleId="a5">
    <w:basedOn w:val="TableNormal6"/>
    <w:tblPr>
      <w:tblStyleRowBandSize w:val="1"/>
      <w:tblStyleColBandSize w:val="1"/>
      <w:tblCellMar>
        <w:top w:w="57" w:type="dxa"/>
        <w:left w:w="52" w:type="dxa"/>
        <w:bottom w:w="57" w:type="dxa"/>
        <w:right w:w="57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57" w:type="dxa"/>
        <w:left w:w="52" w:type="dxa"/>
        <w:bottom w:w="57" w:type="dxa"/>
        <w:right w:w="57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4E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E62"/>
    <w:rPr>
      <w:rFonts w:ascii="Segoe UI" w:hAnsi="Segoe UI" w:cs="Segoe UI"/>
      <w:sz w:val="18"/>
      <w:szCs w:val="18"/>
    </w:rPr>
  </w:style>
  <w:style w:type="table" w:customStyle="1" w:styleId="a7">
    <w:basedOn w:val="TableNormal5"/>
    <w:tblPr>
      <w:tblStyleRowBandSize w:val="1"/>
      <w:tblStyleColBandSize w:val="1"/>
      <w:tblCellMar>
        <w:top w:w="57" w:type="dxa"/>
        <w:left w:w="52" w:type="dxa"/>
        <w:bottom w:w="57" w:type="dxa"/>
        <w:right w:w="57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7242FE"/>
    <w:pPr>
      <w:widowControl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7541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541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541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1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18B"/>
    <w:rPr>
      <w:b/>
      <w:bCs/>
      <w:sz w:val="20"/>
      <w:szCs w:val="20"/>
    </w:rPr>
  </w:style>
  <w:style w:type="table" w:customStyle="1" w:styleId="TabeladeGrade2-nfase11">
    <w:name w:val="Tabela de Grade 2 - Ênfase 11"/>
    <w:basedOn w:val="Tabelanormal"/>
    <w:uiPriority w:val="47"/>
    <w:rsid w:val="004668FE"/>
    <w:pPr>
      <w:widowControl/>
      <w:jc w:val="left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Fontepargpadro"/>
    <w:uiPriority w:val="99"/>
    <w:unhideWhenUsed/>
    <w:rsid w:val="00163C4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3C41"/>
    <w:rPr>
      <w:color w:val="605E5C"/>
      <w:shd w:val="clear" w:color="auto" w:fill="E1DFDD"/>
    </w:rPr>
  </w:style>
  <w:style w:type="paragraph" w:styleId="Sumrio1">
    <w:name w:val="toc 1"/>
    <w:basedOn w:val="Normal"/>
    <w:next w:val="Normal"/>
    <w:autoRedefine/>
    <w:uiPriority w:val="39"/>
    <w:unhideWhenUsed/>
    <w:rsid w:val="0009557C"/>
    <w:pPr>
      <w:spacing w:after="100"/>
    </w:pPr>
  </w:style>
  <w:style w:type="table" w:styleId="Tabelacomgrade">
    <w:name w:val="Table Grid"/>
    <w:basedOn w:val="Tabelanormal"/>
    <w:uiPriority w:val="39"/>
    <w:rsid w:val="00095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11">
    <w:name w:val="Tabela de Grade 4 - Ênfase 11"/>
    <w:basedOn w:val="Tabelanormal"/>
    <w:uiPriority w:val="49"/>
    <w:rsid w:val="0009557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argrafodaLista">
    <w:name w:val="List Paragraph"/>
    <w:basedOn w:val="Normal"/>
    <w:uiPriority w:val="34"/>
    <w:qFormat/>
    <w:rsid w:val="003C34A6"/>
    <w:pPr>
      <w:ind w:left="720"/>
      <w:contextualSpacing/>
    </w:pPr>
  </w:style>
  <w:style w:type="table" w:customStyle="1" w:styleId="a9">
    <w:basedOn w:val="TableNormal3"/>
    <w:pPr>
      <w:widowControl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a">
    <w:basedOn w:val="TableNormal3"/>
    <w:pPr>
      <w:widowControl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b">
    <w:basedOn w:val="TableNormal2"/>
    <w:pPr>
      <w:widowControl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c">
    <w:basedOn w:val="TableNormal2"/>
    <w:pPr>
      <w:widowControl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f01">
    <w:name w:val="cf01"/>
    <w:basedOn w:val="Fontepargpadro"/>
    <w:rsid w:val="00C9346E"/>
    <w:rPr>
      <w:rFonts w:ascii="Segoe UI" w:hAnsi="Segoe UI" w:cs="Segoe UI" w:hint="default"/>
      <w:sz w:val="18"/>
      <w:szCs w:val="18"/>
    </w:rPr>
  </w:style>
  <w:style w:type="table" w:customStyle="1" w:styleId="ad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sm.br/profgeo" TargetMode="External"/><Relationship Id="rId13" Type="http://schemas.openxmlformats.org/officeDocument/2006/relationships/hyperlink" Target="mailto:profgeo@ufs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fsm.br/pro-reitorias/prpgp/editai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eire.capes.gov.br/porta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fsm.br/profge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fgeo@ufsm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5yZq9E6K97D02I91WR09icOWYw==">CgMxLjAyCWguMXYxeXV4dD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yYm42d3N4MgloLjFjaTkzeGIyCWguM3dod21sNDIOaC5tbW40bmd3OXI5bGcyDmguNmE4ZDZ3ZjlpZHc5Mg5oLjcyamN2a3h0aGFqNzIOaC5ibDc0cW04NGdiY2wyDmgudDdzN2hicTBzd2VhMg5oLjl0OW8wZG9pZHdqcDIOaC5vcXh2bHA5NmQ2cTgyDmguamdhb3I2ZXF1bmptMg5oLmM3cWR4czc4OGxqbzIOaC44cnh0NmxkY2QxMWIyDmgud2g2NWdibmFkdXQ2Mg5oLnZscjhjZ2p0ejhiajINaC50NmgybWNrMndhNjIOaC40eXB5ZTM0NW1xbW4yDmguNTcxZmh4cTgzaG1nMg5oLjNiOHlzaGp2MDdkazIOaC5xem1ydDFscjZ5ZWEyDmgubmVjcnd1MXNseHowOAByITFkblpsSmczeURTclhGR0dEZ0hiZWRuSUhPS0p1WUh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3641</Words>
  <Characters>19664</Characters>
  <Application>Microsoft Office Word</Application>
  <DocSecurity>0</DocSecurity>
  <Lines>163</Lines>
  <Paragraphs>46</Paragraphs>
  <ScaleCrop>false</ScaleCrop>
  <Company>IFRO</Company>
  <LinksUpToDate>false</LinksUpToDate>
  <CharactersWithSpaces>23259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De David</dc:creator>
  <cp:lastModifiedBy>Aline Gomes Lopes Pinheiro</cp:lastModifiedBy>
  <cp:revision>3</cp:revision>
  <dcterms:created xsi:type="dcterms:W3CDTF">2024-08-03T22:34:00Z</dcterms:created>
  <dcterms:modified xsi:type="dcterms:W3CDTF">2024-09-02T14:39:00Z</dcterms:modified>
</cp:coreProperties>
</file>